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1C9F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baseline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《松江区关于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推进服务业能级提升</w:t>
      </w:r>
    </w:p>
    <w:p w14:paraId="2795541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baseline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的若干措施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》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编制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说明</w:t>
      </w:r>
    </w:p>
    <w:p w14:paraId="29A94E6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00" w:firstLineChars="200"/>
        <w:textAlignment w:val="baseline"/>
        <w:rPr>
          <w:rFonts w:hint="default" w:ascii="Times New Roman" w:hAnsi="Times New Roman" w:cs="Times New Roman"/>
        </w:rPr>
      </w:pPr>
    </w:p>
    <w:p w14:paraId="62EB3E5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黑体" w:cs="Times New Roman"/>
          <w:sz w:val="32"/>
          <w:szCs w:val="32"/>
        </w:rPr>
        <w:t>决策起草背景</w:t>
      </w:r>
    </w:p>
    <w:p w14:paraId="535F2580">
      <w:pPr>
        <w:spacing w:line="560" w:lineRule="exact"/>
        <w:ind w:firstLine="640" w:firstLineChars="200"/>
        <w:jc w:val="both"/>
        <w:rPr>
          <w:rFonts w:hint="eastAsia" w:ascii="仿宋_GB2312" w:hAnsi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今年以来，市委陈吉宁书记对服务业创新发展提出最新要求。2025年3月，上海市政府办公厅印发</w:t>
      </w:r>
      <w:r>
        <w:rPr>
          <w:rFonts w:hint="eastAsia" w:eastAsia="仿宋_GB2312" w:cs="Calibri"/>
          <w:sz w:val="32"/>
          <w:szCs w:val="32"/>
          <w:highlight w:val="none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上海市促进服务业创新发展若干措施</w:t>
      </w:r>
      <w:r>
        <w:rPr>
          <w:rFonts w:hint="eastAsia" w:eastAsia="仿宋_GB2312" w:cs="Calibri"/>
          <w:sz w:val="32"/>
          <w:szCs w:val="32"/>
          <w:highlight w:val="none"/>
        </w:rPr>
        <w:t>》。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为贯彻落实市委、市政府工作部署，加快推进“四个区”建设，坚持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先进制造业与现代服务业“两手抓”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，深化以生产性服务业为重点、生活性服务业为支撑的现代服务业体系，以两业融合发展推进产业结构转型升级，</w:t>
      </w:r>
      <w:r>
        <w:rPr>
          <w:rFonts w:hint="eastAsia" w:eastAsia="仿宋_GB2312" w:cs="Calibri"/>
          <w:sz w:val="32"/>
          <w:szCs w:val="32"/>
          <w:highlight w:val="none"/>
        </w:rPr>
        <w:t>区发改委会同服务业各主管部门对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2024年出台的《松江区支持服务业高质量发展的若干意见》进行了研究修订</w:t>
      </w:r>
      <w:r>
        <w:rPr>
          <w:rFonts w:hint="eastAsia" w:ascii="仿宋_GB2312" w:hAnsi="仿宋_GB2312" w:cs="仿宋_GB2312"/>
          <w:sz w:val="32"/>
          <w:szCs w:val="32"/>
          <w:highlight w:val="none"/>
          <w:lang w:eastAsia="zh-CN"/>
        </w:rPr>
        <w:t>，并更名为《松江区关于推进服务业高质量发展的若干意见》。</w:t>
      </w:r>
    </w:p>
    <w:p w14:paraId="26429682">
      <w:pPr>
        <w:spacing w:line="560" w:lineRule="exact"/>
        <w:ind w:firstLine="640" w:firstLineChars="200"/>
        <w:jc w:val="both"/>
        <w:rPr>
          <w:rFonts w:hint="eastAsia" w:ascii="仿宋_GB2312" w:hAnsi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highlight w:val="none"/>
          <w:lang w:eastAsia="zh-CN"/>
        </w:rPr>
        <w:t>鉴于《松江区关于推进服务业高质量发展的若干意见》为原则性表述，为确保该政策从“理念”转化为“实效”，根据全区惠企政策体系工作分工，区发改委对原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"/>
        </w:rPr>
        <w:t>《松江区服务业高质量发展引导资金使用和管理办法》（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松发改字〔2024〕227号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"/>
        </w:rPr>
        <w:t>）</w:t>
      </w:r>
      <w:r>
        <w:rPr>
          <w:rFonts w:hint="eastAsia" w:ascii="仿宋_GB2312" w:hAnsi="仿宋_GB2312" w:cs="仿宋_GB2312"/>
          <w:bCs/>
          <w:sz w:val="32"/>
          <w:szCs w:val="32"/>
          <w:lang w:val="en" w:eastAsia="zh-CN"/>
        </w:rPr>
        <w:t>进行修订，形成</w:t>
      </w:r>
      <w:r>
        <w:rPr>
          <w:rFonts w:hint="eastAsia" w:ascii="仿宋_GB2312" w:hAnsi="仿宋_GB2312" w:cs="仿宋_GB2312"/>
          <w:sz w:val="32"/>
          <w:szCs w:val="32"/>
          <w:highlight w:val="none"/>
          <w:lang w:eastAsia="zh-CN"/>
        </w:rPr>
        <w:t>《松江区关于推进服务业能级提升的若干措施》，作为服务业通用性二级政策。</w:t>
      </w:r>
    </w:p>
    <w:p w14:paraId="4C377FA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黑体" w:cs="Times New Roman"/>
          <w:sz w:val="32"/>
          <w:szCs w:val="32"/>
        </w:rPr>
        <w:t>决策主要内容</w:t>
      </w:r>
    </w:p>
    <w:p w14:paraId="50C5F96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baseline"/>
        <w:rPr>
          <w:rFonts w:hint="eastAsia" w:ascii="Times New Roman" w:hAnsi="Times New Roman" w:cs="Times New Roman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highlight w:val="none"/>
          <w:lang w:eastAsia="zh-CN"/>
        </w:rPr>
        <w:t>《松江区关于推进服务业能级提升的若干措施》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共有两项条款。</w:t>
      </w:r>
      <w:r>
        <w:rPr>
          <w:rFonts w:hint="eastAsia" w:ascii="Times New Roman" w:hAnsi="Times New Roman" w:cs="Times New Roman"/>
          <w:b/>
          <w:bCs/>
          <w:sz w:val="32"/>
          <w:szCs w:val="32"/>
          <w:lang w:eastAsia="zh-CN"/>
        </w:rPr>
        <w:t>一是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支持企业规模化发展。对认定年度营业收入首次达到对应统计门类规模以上标准的1倍、5倍、10倍，或认定年度营业收入首次达到100亿元的服务业企业给予梯度奖励。</w:t>
      </w:r>
      <w:r>
        <w:rPr>
          <w:rFonts w:hint="eastAsia" w:ascii="Times New Roman" w:hAnsi="Times New Roman" w:cs="Times New Roman"/>
          <w:b/>
          <w:bCs/>
          <w:sz w:val="32"/>
          <w:szCs w:val="32"/>
          <w:lang w:eastAsia="zh-CN"/>
        </w:rPr>
        <w:t>二是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支持企业多元化投入。对总投资在500万元（含）以上的服务业项目给予投资额补贴或贴息支持。</w:t>
      </w:r>
    </w:p>
    <w:p w14:paraId="50DD65F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黑体" w:cs="Times New Roman"/>
          <w:sz w:val="32"/>
          <w:szCs w:val="32"/>
        </w:rPr>
        <w:t>决策制定过程</w:t>
      </w:r>
    </w:p>
    <w:p w14:paraId="4196667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cs="Times New Roman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highlight w:val="none"/>
          <w:lang w:eastAsia="zh-CN"/>
        </w:rPr>
        <w:t>《松江区关于推进服务业能级提升的若干措施》</w:t>
      </w:r>
      <w:r>
        <w:rPr>
          <w:rFonts w:hint="default" w:ascii="Times New Roman" w:hAnsi="Times New Roman" w:cs="Times New Roman"/>
          <w:sz w:val="32"/>
          <w:szCs w:val="32"/>
        </w:rPr>
        <w:t>制定的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相关</w:t>
      </w:r>
      <w:r>
        <w:rPr>
          <w:rFonts w:hint="default" w:ascii="Times New Roman" w:hAnsi="Times New Roman" w:cs="Times New Roman"/>
          <w:sz w:val="32"/>
          <w:szCs w:val="32"/>
        </w:rPr>
        <w:t>时间节点计划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。</w:t>
      </w:r>
    </w:p>
    <w:p w14:paraId="6742A91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1、2025年3月，启动决策编制，广泛收集材料；</w:t>
      </w:r>
    </w:p>
    <w:p w14:paraId="5100D42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2、2025年4月，形成决策事项草案；</w:t>
      </w:r>
    </w:p>
    <w:p w14:paraId="1114904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3、2025年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cs="Times New Roman"/>
          <w:sz w:val="32"/>
          <w:szCs w:val="32"/>
        </w:rPr>
        <w:t>月-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cs="Times New Roman"/>
          <w:sz w:val="32"/>
          <w:szCs w:val="32"/>
        </w:rPr>
        <w:t>月，与相关部门会商征求意见，不断完善；</w:t>
      </w:r>
    </w:p>
    <w:p w14:paraId="716EF4A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baseline"/>
        <w:rPr>
          <w:rFonts w:hint="eastAsia" w:ascii="Times New Roman" w:hAnsi="Times New Roman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</w:rPr>
        <w:t>4、2025年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cs="Times New Roman"/>
          <w:sz w:val="32"/>
          <w:szCs w:val="32"/>
        </w:rPr>
        <w:t>月-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cs="Times New Roman"/>
          <w:sz w:val="32"/>
          <w:szCs w:val="32"/>
        </w:rPr>
        <w:t>月，开展公众意见征集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，于门户网站</w:t>
      </w:r>
      <w:r>
        <w:rPr>
          <w:rFonts w:hint="default" w:ascii="Times New Roman" w:hAnsi="Times New Roman" w:cs="Times New Roman"/>
          <w:sz w:val="32"/>
          <w:szCs w:val="32"/>
        </w:rPr>
        <w:t>向社会公开征求公众意见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；</w:t>
      </w:r>
    </w:p>
    <w:p w14:paraId="74AD5FA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5、2025年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cs="Times New Roman"/>
          <w:sz w:val="32"/>
          <w:szCs w:val="32"/>
        </w:rPr>
        <w:t>月-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cs="Times New Roman"/>
          <w:sz w:val="32"/>
          <w:szCs w:val="32"/>
        </w:rPr>
        <w:t>月，形成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编制说明、草案解读、</w:t>
      </w:r>
      <w:r>
        <w:rPr>
          <w:rFonts w:hint="default" w:ascii="Times New Roman" w:hAnsi="Times New Roman" w:cs="Times New Roman"/>
          <w:sz w:val="32"/>
          <w:szCs w:val="32"/>
        </w:rPr>
        <w:t>公众参与情况报告、公平竞争审查报告、风险评估报告、专家论证报告、本单位合法性审查</w:t>
      </w:r>
      <w:bookmarkStart w:id="0" w:name="_GoBack"/>
      <w:bookmarkEnd w:id="0"/>
      <w:r>
        <w:rPr>
          <w:rFonts w:hint="default" w:ascii="Times New Roman" w:hAnsi="Times New Roman" w:cs="Times New Roman"/>
          <w:sz w:val="32"/>
          <w:szCs w:val="32"/>
        </w:rPr>
        <w:t>报告；</w:t>
      </w:r>
    </w:p>
    <w:p w14:paraId="6FD4D57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6、2025年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cs="Times New Roman"/>
          <w:sz w:val="32"/>
          <w:szCs w:val="32"/>
        </w:rPr>
        <w:t>月，将材料提交区政府办公室进行区级合法性审查；</w:t>
      </w:r>
    </w:p>
    <w:p w14:paraId="2E8B2B2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7、2025年9月，提请区府常务会审议并向区委汇报；</w:t>
      </w:r>
    </w:p>
    <w:p w14:paraId="5253816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</w:rPr>
        <w:t>8、2025年10月，正式出台决策文件。</w:t>
      </w:r>
    </w:p>
    <w:p w14:paraId="025299F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default" w:ascii="Times New Roman" w:hAnsi="Times New Roman" w:cs="Times New Roman"/>
          <w:sz w:val="32"/>
          <w:szCs w:val="32"/>
        </w:rPr>
      </w:pPr>
    </w:p>
    <w:p w14:paraId="02C654FD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right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    </w:t>
      </w:r>
    </w:p>
    <w:sectPr>
      <w:footerReference r:id="rId5" w:type="default"/>
      <w:footnotePr>
        <w:numFmt w:val="decimalEnclosedCircleChinese"/>
      </w:footnotePr>
      <w:pgSz w:w="11905" w:h="16838"/>
      <w:pgMar w:top="2098" w:right="1474" w:bottom="1984" w:left="1587" w:header="0" w:footer="1100" w:gutter="0"/>
      <w:pgNumType w:fmt="decimal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modern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1358CC">
    <w:pPr>
      <w:spacing w:line="174" w:lineRule="auto"/>
      <w:jc w:val="center"/>
      <w:rPr>
        <w:rFonts w:ascii="仿宋" w:hAnsi="仿宋" w:eastAsia="仿宋" w:cs="仿宋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D4E393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D4E393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numFmt w:val="decimalEnclosedCircleChinese"/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GNkMDQyYTEzNzBiYWFmNzE0YmQzMzJmYWI0MTZmODgifQ=="/>
  </w:docVars>
  <w:rsids>
    <w:rsidRoot w:val="00000000"/>
    <w:rsid w:val="008608E9"/>
    <w:rsid w:val="00C9289D"/>
    <w:rsid w:val="015679D0"/>
    <w:rsid w:val="015E6503"/>
    <w:rsid w:val="02983BAC"/>
    <w:rsid w:val="040A684F"/>
    <w:rsid w:val="04415D9F"/>
    <w:rsid w:val="05392FED"/>
    <w:rsid w:val="06B83AF1"/>
    <w:rsid w:val="06F84AE5"/>
    <w:rsid w:val="07F2440E"/>
    <w:rsid w:val="08485D09"/>
    <w:rsid w:val="087D5D1C"/>
    <w:rsid w:val="095C53DA"/>
    <w:rsid w:val="09886007"/>
    <w:rsid w:val="09B96053"/>
    <w:rsid w:val="09DA326D"/>
    <w:rsid w:val="0A51342A"/>
    <w:rsid w:val="0A6D7B38"/>
    <w:rsid w:val="0FD52CD4"/>
    <w:rsid w:val="0FF93184"/>
    <w:rsid w:val="10414991"/>
    <w:rsid w:val="10B169D0"/>
    <w:rsid w:val="10DC126C"/>
    <w:rsid w:val="16EDD7B1"/>
    <w:rsid w:val="173935B8"/>
    <w:rsid w:val="17AB4CAB"/>
    <w:rsid w:val="18153CE9"/>
    <w:rsid w:val="18363351"/>
    <w:rsid w:val="18A60DE5"/>
    <w:rsid w:val="18BF1D95"/>
    <w:rsid w:val="1A0A1015"/>
    <w:rsid w:val="1AC73A13"/>
    <w:rsid w:val="1BDC7EC5"/>
    <w:rsid w:val="1D35BA97"/>
    <w:rsid w:val="1F443106"/>
    <w:rsid w:val="1FAF4211"/>
    <w:rsid w:val="21A82844"/>
    <w:rsid w:val="227E25FD"/>
    <w:rsid w:val="22E75A29"/>
    <w:rsid w:val="23C200EA"/>
    <w:rsid w:val="25FF35E2"/>
    <w:rsid w:val="2618054D"/>
    <w:rsid w:val="2766F564"/>
    <w:rsid w:val="27C5D02B"/>
    <w:rsid w:val="289724F8"/>
    <w:rsid w:val="2A70079B"/>
    <w:rsid w:val="2AC87FD0"/>
    <w:rsid w:val="2AF5268F"/>
    <w:rsid w:val="2B5F54B9"/>
    <w:rsid w:val="2BDD8D8D"/>
    <w:rsid w:val="2E81398F"/>
    <w:rsid w:val="2EAB1BE6"/>
    <w:rsid w:val="2ED52630"/>
    <w:rsid w:val="2EF90983"/>
    <w:rsid w:val="2F6A5E92"/>
    <w:rsid w:val="2F9C21A2"/>
    <w:rsid w:val="328F7E00"/>
    <w:rsid w:val="32D22AAA"/>
    <w:rsid w:val="32DE7134"/>
    <w:rsid w:val="32F2202B"/>
    <w:rsid w:val="332A0C75"/>
    <w:rsid w:val="3657D915"/>
    <w:rsid w:val="36B92E9D"/>
    <w:rsid w:val="38B97DD1"/>
    <w:rsid w:val="391159AF"/>
    <w:rsid w:val="39CE641A"/>
    <w:rsid w:val="3A555125"/>
    <w:rsid w:val="3A7E295B"/>
    <w:rsid w:val="3B1A72A1"/>
    <w:rsid w:val="3BFE4254"/>
    <w:rsid w:val="3CEA6C43"/>
    <w:rsid w:val="3D1B01A4"/>
    <w:rsid w:val="3D4C16AB"/>
    <w:rsid w:val="3DE7AF3E"/>
    <w:rsid w:val="3E678105"/>
    <w:rsid w:val="3EFA247B"/>
    <w:rsid w:val="3F6A552A"/>
    <w:rsid w:val="3FB5178A"/>
    <w:rsid w:val="3FD341E0"/>
    <w:rsid w:val="3FEFD347"/>
    <w:rsid w:val="4053216B"/>
    <w:rsid w:val="409F7FE8"/>
    <w:rsid w:val="41A07CDB"/>
    <w:rsid w:val="426B6130"/>
    <w:rsid w:val="43AE44D6"/>
    <w:rsid w:val="43EF4B3E"/>
    <w:rsid w:val="444430DC"/>
    <w:rsid w:val="45821650"/>
    <w:rsid w:val="485A2B7D"/>
    <w:rsid w:val="4AFB3F1E"/>
    <w:rsid w:val="4B2C69C6"/>
    <w:rsid w:val="4B893ACB"/>
    <w:rsid w:val="4C0F2222"/>
    <w:rsid w:val="4E995C1D"/>
    <w:rsid w:val="4F895E47"/>
    <w:rsid w:val="526CAAB0"/>
    <w:rsid w:val="56DF8678"/>
    <w:rsid w:val="594E3A95"/>
    <w:rsid w:val="5966544B"/>
    <w:rsid w:val="5A495721"/>
    <w:rsid w:val="5B95B9F9"/>
    <w:rsid w:val="5BB47FEA"/>
    <w:rsid w:val="5BD7526E"/>
    <w:rsid w:val="5CFB4BAC"/>
    <w:rsid w:val="5D9F2CDA"/>
    <w:rsid w:val="5DD15589"/>
    <w:rsid w:val="5DE810CA"/>
    <w:rsid w:val="5DFF086B"/>
    <w:rsid w:val="5EBB81C4"/>
    <w:rsid w:val="5EFC4888"/>
    <w:rsid w:val="5EFE9409"/>
    <w:rsid w:val="5F57B445"/>
    <w:rsid w:val="5F7784B8"/>
    <w:rsid w:val="61AE5BE1"/>
    <w:rsid w:val="635B58F5"/>
    <w:rsid w:val="650A312E"/>
    <w:rsid w:val="651346D9"/>
    <w:rsid w:val="65BD867F"/>
    <w:rsid w:val="69214C92"/>
    <w:rsid w:val="6AC326FD"/>
    <w:rsid w:val="6C00528B"/>
    <w:rsid w:val="6C5506B8"/>
    <w:rsid w:val="6EAB3BD4"/>
    <w:rsid w:val="6F7F4719"/>
    <w:rsid w:val="70115BC1"/>
    <w:rsid w:val="714D537F"/>
    <w:rsid w:val="7150503B"/>
    <w:rsid w:val="72202B7D"/>
    <w:rsid w:val="72385CC5"/>
    <w:rsid w:val="72C42B9A"/>
    <w:rsid w:val="72DF209E"/>
    <w:rsid w:val="7313268A"/>
    <w:rsid w:val="732875F5"/>
    <w:rsid w:val="73353A6C"/>
    <w:rsid w:val="739B4217"/>
    <w:rsid w:val="755056DA"/>
    <w:rsid w:val="75B17840"/>
    <w:rsid w:val="75EF25F8"/>
    <w:rsid w:val="75F91BD5"/>
    <w:rsid w:val="76793371"/>
    <w:rsid w:val="774D0431"/>
    <w:rsid w:val="777C4360"/>
    <w:rsid w:val="790742C7"/>
    <w:rsid w:val="79A436FA"/>
    <w:rsid w:val="79EFD114"/>
    <w:rsid w:val="79FFD46A"/>
    <w:rsid w:val="7A77F6E0"/>
    <w:rsid w:val="7A8772A3"/>
    <w:rsid w:val="7A935273"/>
    <w:rsid w:val="7BFF71AF"/>
    <w:rsid w:val="7C320C97"/>
    <w:rsid w:val="7D1D4494"/>
    <w:rsid w:val="7DFE4EC0"/>
    <w:rsid w:val="7EB75C7D"/>
    <w:rsid w:val="7ED72028"/>
    <w:rsid w:val="7F77D056"/>
    <w:rsid w:val="7F7E5FB3"/>
    <w:rsid w:val="7FFEF72E"/>
    <w:rsid w:val="9DBFADF5"/>
    <w:rsid w:val="BDDDC2D2"/>
    <w:rsid w:val="BEFDA739"/>
    <w:rsid w:val="D1BF523B"/>
    <w:rsid w:val="D4DF7DBD"/>
    <w:rsid w:val="E2FD28CD"/>
    <w:rsid w:val="EB9B38C1"/>
    <w:rsid w:val="EB9F73BE"/>
    <w:rsid w:val="EDCB28E7"/>
    <w:rsid w:val="EEF78BFE"/>
    <w:rsid w:val="EF6483A5"/>
    <w:rsid w:val="F1F5A07B"/>
    <w:rsid w:val="F7FB6193"/>
    <w:rsid w:val="FBB89F94"/>
    <w:rsid w:val="FEEEAB68"/>
    <w:rsid w:val="FF8E6945"/>
    <w:rsid w:val="FF9D673F"/>
    <w:rsid w:val="FFFD62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仿宋_GB2312" w:cs="仿宋_GB2312"/>
      <w:snapToGrid w:val="0"/>
      <w:color w:val="000000"/>
      <w:kern w:val="0"/>
      <w:sz w:val="30"/>
      <w:szCs w:val="30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footnote text"/>
    <w:basedOn w:val="1"/>
    <w:qFormat/>
    <w:uiPriority w:val="0"/>
    <w:pPr>
      <w:snapToGrid w:val="0"/>
      <w:jc w:val="left"/>
    </w:pPr>
    <w:rPr>
      <w:sz w:val="18"/>
    </w:rPr>
  </w:style>
  <w:style w:type="character" w:styleId="8">
    <w:name w:val="footnote reference"/>
    <w:basedOn w:val="7"/>
    <w:qFormat/>
    <w:uiPriority w:val="0"/>
    <w:rPr>
      <w:vertAlign w:val="superscript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11">
    <w:name w:val="网格型1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15446</Words>
  <Characters>15966</Characters>
  <TotalTime>1</TotalTime>
  <ScaleCrop>false</ScaleCrop>
  <LinksUpToDate>false</LinksUpToDate>
  <CharactersWithSpaces>16475</CharactersWithSpaces>
  <Application>WPS Office_12.8.2.1119_F1E327BC-269C-435d-A152-05C5408002CA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2024-04-03T05:55:00Z</dcterms:created>
  <dc:creator>Administrator</dc:creator>
  <cp:lastModifiedBy>Machine</cp:lastModifiedBy>
  <dcterms:modified xsi:type="dcterms:W3CDTF">2025-08-01T10:14:23Z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2024-03-29T13:55:37Z</vt:filetime>
  </property>
  <property fmtid="{D5CDD505-2E9C-101B-9397-08002B2CF9AE}" pid="4" name="UsrData">
    <vt:lpwstr>660657cecc71d6001f2558a1wl</vt:lpwstr>
  </property>
  <property fmtid="{D5CDD505-2E9C-101B-9397-08002B2CF9AE}" pid="5" name="KSOProductBuildVer">
    <vt:lpwstr>2052-12.8.2.1119</vt:lpwstr>
  </property>
  <property fmtid="{D5CDD505-2E9C-101B-9397-08002B2CF9AE}" pid="6" name="ICV">
    <vt:lpwstr>623DBDC0D1674F3E9FDB2AC6B215C835_12</vt:lpwstr>
  </property>
</Properties>
</file>